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2C822ADD" w:rsidR="00957F9E" w:rsidRPr="00BD5E7E" w:rsidRDefault="009754FA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J. Lombardini n. 2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E5CF692" w14:textId="710209EB" w:rsidR="00C5235F" w:rsidRPr="001A02FB" w:rsidRDefault="00C5235F" w:rsidP="00C5235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  <w:r w:rsidRPr="00C5235F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PROCEDURA NEGOZIATA EX ART. 1, COMMA 2, LETTERA B, DELLA L. 120/2020 E SS.MM.II. PER L’AFFIDAMENTO DEI LAVORI </w:t>
      </w:r>
      <w:r w:rsidR="00110D82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DI </w:t>
      </w:r>
      <w:r w:rsidR="00110D82" w:rsidRPr="00110D82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RISTRUTTURAZIONE E RIQUALIFICAZIONE IMMOBILI E SPAZI COMUNALI NEL COMUNE DI BRICHERASIO. </w:t>
      </w:r>
      <w:r w:rsidR="002E0FE2" w:rsidRPr="00B37D1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CUP: E73C22000290001, CIG: 9868592BBC.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9754FA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754FA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754FA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754FA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754FA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9754FA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>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(di cui all’art. 45 comma 2, lettera g),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>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>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>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>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>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l’insussistenza delle cause di incompatibilità di cui all’articolo 53, comma 16 ter,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essere in grado, ai sensi dell’articolo 85, comma 2, del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., di fornire, su richiesta della Stazione Appaltante e senza indugio, la documentazione di cui al citato articolo 85, comma 2, del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>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autorizzare la Centrale Unica di Committenza o l’Amministrazione per conto della quale si sta svolgendo la procedura di gara, a trasmettere le comunicazioni di cui all’art. 52 del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>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1375C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1375C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91375C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91375C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6F35652B" w:rsidR="00957F9E" w:rsidRPr="0091375C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1375C">
        <w:rPr>
          <w:rFonts w:ascii="Calibri Light" w:hAnsi="Calibri Light" w:cs="Calibri Light"/>
          <w:sz w:val="22"/>
          <w:szCs w:val="22"/>
        </w:rPr>
        <w:t>N.B. La domanda va compilata e sottoscritta secondo le modalità di cui al punto “A. Domanda di Partecipazione” dell’art. 1</w:t>
      </w:r>
      <w:r w:rsidR="00110D82" w:rsidRPr="0091375C">
        <w:rPr>
          <w:rFonts w:ascii="Calibri Light" w:hAnsi="Calibri Light" w:cs="Calibri Light"/>
          <w:sz w:val="22"/>
          <w:szCs w:val="22"/>
        </w:rPr>
        <w:t>8</w:t>
      </w:r>
      <w:r w:rsidRPr="0091375C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E8ED8" w14:textId="77777777" w:rsidR="00E42733" w:rsidRDefault="00E42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3771F279" w14:textId="77777777" w:rsidR="00E42733" w:rsidRDefault="00E42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5BCE7AD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9325" w14:textId="77777777" w:rsidR="00E42733" w:rsidRDefault="00E42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C119BF7" w14:textId="77777777" w:rsidR="00E42733" w:rsidRDefault="00E427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10D82"/>
    <w:rsid w:val="00151580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2E0FE2"/>
    <w:rsid w:val="003013D9"/>
    <w:rsid w:val="00310442"/>
    <w:rsid w:val="00311688"/>
    <w:rsid w:val="0035073B"/>
    <w:rsid w:val="003F7006"/>
    <w:rsid w:val="0044224E"/>
    <w:rsid w:val="0046652E"/>
    <w:rsid w:val="004705FF"/>
    <w:rsid w:val="00470FF6"/>
    <w:rsid w:val="004802BD"/>
    <w:rsid w:val="00493B39"/>
    <w:rsid w:val="004A36AE"/>
    <w:rsid w:val="004A4F10"/>
    <w:rsid w:val="004B5A20"/>
    <w:rsid w:val="004C2633"/>
    <w:rsid w:val="004D3C0F"/>
    <w:rsid w:val="00524D69"/>
    <w:rsid w:val="00550A54"/>
    <w:rsid w:val="005543EF"/>
    <w:rsid w:val="00583C3B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1375C"/>
    <w:rsid w:val="0093222A"/>
    <w:rsid w:val="00957F9E"/>
    <w:rsid w:val="0096320B"/>
    <w:rsid w:val="009754FA"/>
    <w:rsid w:val="009B554C"/>
    <w:rsid w:val="00A53801"/>
    <w:rsid w:val="00A81EFF"/>
    <w:rsid w:val="00AE3EAF"/>
    <w:rsid w:val="00B20552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235F"/>
    <w:rsid w:val="00C55427"/>
    <w:rsid w:val="00C60923"/>
    <w:rsid w:val="00C622A1"/>
    <w:rsid w:val="00C73656"/>
    <w:rsid w:val="00C73F61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42733"/>
    <w:rsid w:val="00E62DA1"/>
    <w:rsid w:val="00EC5723"/>
    <w:rsid w:val="00ED35E1"/>
    <w:rsid w:val="00EF1D19"/>
    <w:rsid w:val="00EF7139"/>
    <w:rsid w:val="00F07132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22</cp:revision>
  <dcterms:created xsi:type="dcterms:W3CDTF">2021-07-08T10:30:00Z</dcterms:created>
  <dcterms:modified xsi:type="dcterms:W3CDTF">2023-06-08T11:31:00Z</dcterms:modified>
</cp:coreProperties>
</file>